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437" w:rsidRPr="00CE0437" w:rsidRDefault="00CE0437" w:rsidP="00CE0437">
      <w:pPr>
        <w:pStyle w:val="Ttulo8"/>
        <w:keepNext/>
        <w:rPr>
          <w:rFonts w:asciiTheme="minorHAnsi" w:hAnsiTheme="minorHAnsi"/>
          <w:sz w:val="40"/>
          <w:szCs w:val="40"/>
          <w:u w:val="single"/>
          <w:lang w:val="es-ES"/>
          <w14:ligatures w14:val="none"/>
        </w:rPr>
      </w:pPr>
      <w:bookmarkStart w:id="0" w:name="_GoBack"/>
      <w:r w:rsidRPr="00CE0437">
        <w:rPr>
          <w:rFonts w:asciiTheme="minorHAnsi" w:hAnsiTheme="minorHAnsi"/>
          <w:sz w:val="40"/>
          <w:szCs w:val="40"/>
          <w:u w:val="single"/>
          <w:lang w:val="es-ES"/>
          <w14:ligatures w14:val="none"/>
        </w:rPr>
        <w:t>PROGRAMA</w:t>
      </w:r>
    </w:p>
    <w:bookmarkEnd w:id="0"/>
    <w:p w:rsidR="00CE0437" w:rsidRPr="00CE0437" w:rsidRDefault="00CE0437" w:rsidP="00CE0437">
      <w:pPr>
        <w:pStyle w:val="Ttulo8"/>
        <w:keepNext/>
        <w:rPr>
          <w:rFonts w:asciiTheme="minorHAnsi" w:hAnsiTheme="minorHAnsi"/>
          <w:u w:val="single"/>
          <w:lang w:val="es-ES"/>
          <w14:ligatures w14:val="none"/>
        </w:rPr>
      </w:pP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  <w:t xml:space="preserve"> 1) ARQUITECTURA DE LA PC</w:t>
      </w: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Introducción al sistema de PC. Partes principales de la PC (CPU, Monitor, Teclado,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etc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). Descripción básica del CPU. Posibles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upgrades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 de la PC. Las diferentes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motherboards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 y sus características. Tipos de buses (ISA, EISA, PCI, AGP, PCI Express). Direcciones de E/S, Interrupciones, DMA (sistema Plug &amp; Play). El BIOS. EL CMOS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Setup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.</w:t>
      </w: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  <w:t>2) MICROPROCESADORES Y MOTHERBOARDS</w:t>
      </w: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lang w:val="es-ES"/>
          <w14:ligatures w14:val="none"/>
        </w:rPr>
      </w:pPr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Evolución y características principales de los diferentes microprocesadores. Configuración de los diferentes microprocesadores en los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Motherboards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. Tensiones de alimentación de los microprocesadores. Disipadores.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Over-clocking</w:t>
      </w:r>
      <w:proofErr w:type="spellEnd"/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lang w:val="es-ES"/>
          <w14:ligatures w14:val="none"/>
        </w:rPr>
      </w:pPr>
      <w:r w:rsidRPr="00CE0437"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  <w:t>3) MEMORIAS</w:t>
      </w: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Diferentes tipos de memorias y sus características (velocidades, tensiones), Como instalarla según su cantidad de datos, </w:t>
      </w:r>
      <w:proofErr w:type="spellStart"/>
      <w:r w:rsidRPr="00CE0437">
        <w:rPr>
          <w:rFonts w:asciiTheme="minorHAnsi" w:hAnsiTheme="minorHAnsi"/>
          <w:sz w:val="18"/>
          <w:szCs w:val="18"/>
          <w14:ligatures w14:val="none"/>
        </w:rPr>
        <w:t>Upgrades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. Descripción de la memoria base, extendida, virtual, caché. </w:t>
      </w:r>
    </w:p>
    <w:p w:rsidR="00CE0437" w:rsidRPr="00CE0437" w:rsidRDefault="00CE0437" w:rsidP="00CE0437">
      <w:pPr>
        <w:widowControl w:val="0"/>
        <w:spacing w:line="360" w:lineRule="auto"/>
        <w:jc w:val="both"/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  <w:t>4) DISPOSITIVOS DE ALMACENAMIENTO DE DATOS.</w:t>
      </w: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Discos rígidos, Tecnologías PATA-IDE, SATA, SCSI, RAID. Como se conectan. Puesta en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ready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. Particiones y formateo con Windows XP. Que son los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cylinders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, head, sector. Lectores y grabadores ópticos, CD, DVD,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Blu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 xml:space="preserve"> </w:t>
      </w:r>
      <w:proofErr w:type="spellStart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Ray</w:t>
      </w:r>
      <w:proofErr w:type="spellEnd"/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.</w:t>
      </w: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  <w:t>5) SISTEMA DE VIDEO.</w:t>
      </w:r>
    </w:p>
    <w:p w:rsidR="00CE0437" w:rsidRPr="00CE0437" w:rsidRDefault="00CE0437" w:rsidP="00CE0437">
      <w:pPr>
        <w:spacing w:line="360" w:lineRule="auto"/>
        <w:jc w:val="both"/>
        <w:rPr>
          <w:rFonts w:asciiTheme="minorHAnsi" w:hAnsiTheme="minorHAnsi"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sz w:val="18"/>
          <w:szCs w:val="18"/>
          <w:lang w:val="es-ES"/>
          <w14:ligatures w14:val="none"/>
        </w:rPr>
        <w:t>Diferentes tecnologías y sus características, Placas de video (memoria de video y aceleradoras), Diferentes tipos de Monitores.</w:t>
      </w:r>
    </w:p>
    <w:p w:rsidR="00CE0437" w:rsidRPr="00CE0437" w:rsidRDefault="00CE0437" w:rsidP="00CE0437">
      <w:pPr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</w:pPr>
      <w:r w:rsidRPr="00CE0437">
        <w:rPr>
          <w:rFonts w:asciiTheme="minorHAnsi" w:hAnsiTheme="minorHAnsi"/>
          <w:b/>
          <w:bCs/>
          <w:sz w:val="18"/>
          <w:szCs w:val="18"/>
          <w:lang w:val="es-ES"/>
          <w14:ligatures w14:val="none"/>
        </w:rPr>
        <w:t> </w:t>
      </w:r>
    </w:p>
    <w:p w:rsidR="00CE0437" w:rsidRPr="00CE0437" w:rsidRDefault="00CE0437" w:rsidP="00CE0437">
      <w:pPr>
        <w:widowControl w:val="0"/>
        <w:rPr>
          <w:rFonts w:asciiTheme="minorHAnsi" w:hAnsiTheme="minorHAnsi"/>
          <w14:ligatures w14:val="none"/>
        </w:rPr>
      </w:pPr>
      <w:r w:rsidRPr="00CE0437">
        <w:rPr>
          <w:rFonts w:asciiTheme="minorHAnsi" w:hAnsiTheme="minorHAnsi"/>
          <w14:ligatures w14:val="none"/>
        </w:rPr>
        <w:t> </w:t>
      </w:r>
    </w:p>
    <w:p w:rsidR="00E9033F" w:rsidRPr="00CE0437" w:rsidRDefault="00E9033F">
      <w:pPr>
        <w:rPr>
          <w:rFonts w:asciiTheme="minorHAnsi" w:hAnsiTheme="minorHAnsi"/>
        </w:rPr>
      </w:pPr>
    </w:p>
    <w:sectPr w:rsidR="00E9033F" w:rsidRPr="00CE04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FF"/>
    <w:rsid w:val="006F52FF"/>
    <w:rsid w:val="00CE0437"/>
    <w:rsid w:val="00E9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437"/>
    <w:pPr>
      <w:spacing w:after="120" w:line="240" w:lineRule="auto"/>
    </w:pPr>
    <w:rPr>
      <w:rFonts w:ascii="Perpetua" w:eastAsia="Times New Roman" w:hAnsi="Perpetua" w:cs="Times New Roman"/>
      <w:color w:val="000000"/>
      <w:kern w:val="28"/>
      <w:lang w:eastAsia="es-AR"/>
      <w14:ligatures w14:val="standard"/>
      <w14:cntxtAlts/>
    </w:rPr>
  </w:style>
  <w:style w:type="paragraph" w:styleId="Ttulo8">
    <w:name w:val="heading 8"/>
    <w:basedOn w:val="Normal"/>
    <w:link w:val="Ttulo8Car"/>
    <w:uiPriority w:val="9"/>
    <w:qFormat/>
    <w:rsid w:val="00CE0437"/>
    <w:pPr>
      <w:spacing w:after="0"/>
      <w:outlineLvl w:val="7"/>
    </w:pPr>
    <w:rPr>
      <w:rFonts w:ascii="Arial" w:hAnsi="Arial" w:cs="Arial"/>
      <w:b/>
      <w:bCs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uiPriority w:val="9"/>
    <w:rsid w:val="00CE0437"/>
    <w:rPr>
      <w:rFonts w:ascii="Arial" w:eastAsia="Times New Roman" w:hAnsi="Arial" w:cs="Arial"/>
      <w:b/>
      <w:bCs/>
      <w:color w:val="000000"/>
      <w:kern w:val="28"/>
      <w:sz w:val="28"/>
      <w:szCs w:val="24"/>
      <w:lang w:eastAsia="es-AR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437"/>
    <w:pPr>
      <w:spacing w:after="120" w:line="240" w:lineRule="auto"/>
    </w:pPr>
    <w:rPr>
      <w:rFonts w:ascii="Perpetua" w:eastAsia="Times New Roman" w:hAnsi="Perpetua" w:cs="Times New Roman"/>
      <w:color w:val="000000"/>
      <w:kern w:val="28"/>
      <w:lang w:eastAsia="es-AR"/>
      <w14:ligatures w14:val="standard"/>
      <w14:cntxtAlts/>
    </w:rPr>
  </w:style>
  <w:style w:type="paragraph" w:styleId="Ttulo8">
    <w:name w:val="heading 8"/>
    <w:basedOn w:val="Normal"/>
    <w:link w:val="Ttulo8Car"/>
    <w:uiPriority w:val="9"/>
    <w:qFormat/>
    <w:rsid w:val="00CE0437"/>
    <w:pPr>
      <w:spacing w:after="0"/>
      <w:outlineLvl w:val="7"/>
    </w:pPr>
    <w:rPr>
      <w:rFonts w:ascii="Arial" w:hAnsi="Arial" w:cs="Arial"/>
      <w:b/>
      <w:bCs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uiPriority w:val="9"/>
    <w:rsid w:val="00CE0437"/>
    <w:rPr>
      <w:rFonts w:ascii="Arial" w:eastAsia="Times New Roman" w:hAnsi="Arial" w:cs="Arial"/>
      <w:b/>
      <w:bCs/>
      <w:color w:val="000000"/>
      <w:kern w:val="28"/>
      <w:sz w:val="28"/>
      <w:szCs w:val="24"/>
      <w:lang w:eastAsia="es-A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Cultura y Extension Universitaria</dc:creator>
  <cp:keywords/>
  <dc:description/>
  <cp:lastModifiedBy>Secretaria de Cultura y Extension Universitaria</cp:lastModifiedBy>
  <cp:revision>2</cp:revision>
  <dcterms:created xsi:type="dcterms:W3CDTF">2018-05-24T17:42:00Z</dcterms:created>
  <dcterms:modified xsi:type="dcterms:W3CDTF">2018-05-24T17:43:00Z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